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19" w:rsidRPr="00E72519" w:rsidRDefault="00E72519" w:rsidP="00E72519">
      <w:pPr>
        <w:tabs>
          <w:tab w:val="left" w:pos="7247"/>
        </w:tabs>
        <w:spacing w:line="321" w:lineRule="exact"/>
        <w:ind w:left="6673" w:right="744" w:hanging="3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E72519">
        <w:rPr>
          <w:rFonts w:ascii="Times New Roman" w:hAnsi="Times New Roman" w:cs="Times New Roman"/>
          <w:sz w:val="28"/>
          <w:szCs w:val="28"/>
        </w:rPr>
        <w:t>УТВЕРЖДЕНО</w:t>
      </w:r>
    </w:p>
    <w:p w:rsidR="00E72519" w:rsidRDefault="00E72519" w:rsidP="00E72519">
      <w:pPr>
        <w:tabs>
          <w:tab w:val="center" w:pos="6819"/>
        </w:tabs>
        <w:spacing w:line="321" w:lineRule="exact"/>
        <w:ind w:left="6673" w:right="744" w:hanging="3206"/>
        <w:jc w:val="right"/>
        <w:rPr>
          <w:rFonts w:ascii="Times New Roman" w:hAnsi="Times New Roman" w:cs="Times New Roman"/>
          <w:sz w:val="28"/>
          <w:szCs w:val="28"/>
        </w:rPr>
      </w:pPr>
      <w:r w:rsidRPr="00E7251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E7251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72519">
        <w:rPr>
          <w:rFonts w:ascii="Times New Roman" w:hAnsi="Times New Roman" w:cs="Times New Roman"/>
          <w:sz w:val="28"/>
          <w:szCs w:val="28"/>
        </w:rPr>
        <w:t>. заведующего МБДОУ д/с №5</w:t>
      </w:r>
    </w:p>
    <w:p w:rsidR="00E72519" w:rsidRPr="00E72519" w:rsidRDefault="00E72519" w:rsidP="00E72519">
      <w:pPr>
        <w:tabs>
          <w:tab w:val="center" w:pos="6819"/>
        </w:tabs>
        <w:spacing w:line="321" w:lineRule="exact"/>
        <w:ind w:left="6673" w:right="744" w:hanging="3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__________________</w:t>
      </w:r>
      <w:proofErr w:type="spellStart"/>
      <w:r>
        <w:rPr>
          <w:rFonts w:ascii="Times New Roman" w:hAnsi="Times New Roman" w:cs="Times New Roman"/>
        </w:rPr>
        <w:t>Т</w:t>
      </w:r>
      <w:r w:rsidRPr="00E72519">
        <w:rPr>
          <w:rFonts w:ascii="Times New Roman" w:hAnsi="Times New Roman" w:cs="Times New Roman"/>
          <w:sz w:val="28"/>
        </w:rPr>
        <w:t>.В.Пилипенко</w:t>
      </w:r>
      <w:proofErr w:type="spellEnd"/>
    </w:p>
    <w:p w:rsidR="006C4B55" w:rsidRPr="009F512C" w:rsidRDefault="00E72519" w:rsidP="00E72519">
      <w:pPr>
        <w:pStyle w:val="af1"/>
        <w:spacing w:line="276" w:lineRule="auto"/>
        <w:ind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Прик</w:t>
      </w:r>
      <w:r w:rsidRPr="00E72519">
        <w:rPr>
          <w:rFonts w:ascii="Times New Roman" w:hAnsi="Times New Roman"/>
          <w:color w:val="000000"/>
          <w:sz w:val="28"/>
          <w:szCs w:val="28"/>
        </w:rPr>
        <w:t>а</w:t>
      </w:r>
      <w:r w:rsidRPr="00E72519">
        <w:rPr>
          <w:rFonts w:ascii="Times New Roman" w:hAnsi="Times New Roman"/>
          <w:color w:val="000000"/>
          <w:spacing w:val="-2"/>
          <w:sz w:val="28"/>
          <w:szCs w:val="28"/>
        </w:rPr>
        <w:t xml:space="preserve">з № </w:t>
      </w:r>
      <w:proofErr w:type="gramStart"/>
      <w:r w:rsidRPr="00E72519">
        <w:rPr>
          <w:rFonts w:ascii="Times New Roman" w:hAnsi="Times New Roman"/>
          <w:color w:val="000000"/>
          <w:spacing w:val="-2"/>
          <w:sz w:val="28"/>
          <w:szCs w:val="28"/>
        </w:rPr>
        <w:t>62</w:t>
      </w:r>
      <w:proofErr w:type="gramEnd"/>
      <w:r w:rsidRPr="00E72519">
        <w:rPr>
          <w:rFonts w:ascii="Times New Roman" w:hAnsi="Times New Roman"/>
          <w:color w:val="000000"/>
          <w:spacing w:val="-2"/>
          <w:sz w:val="28"/>
          <w:szCs w:val="28"/>
        </w:rPr>
        <w:t xml:space="preserve"> а о</w:t>
      </w:r>
      <w:r w:rsidRPr="00E72519">
        <w:rPr>
          <w:rFonts w:ascii="Times New Roman" w:hAnsi="Times New Roman"/>
          <w:color w:val="000000"/>
          <w:sz w:val="28"/>
          <w:szCs w:val="28"/>
        </w:rPr>
        <w:t xml:space="preserve">т 29.09.2022 </w:t>
      </w:r>
      <w:r w:rsidRPr="00E72519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E72519">
        <w:rPr>
          <w:rFonts w:ascii="Times New Roman" w:hAnsi="Times New Roman"/>
          <w:color w:val="000000"/>
          <w:sz w:val="28"/>
          <w:szCs w:val="28"/>
        </w:rPr>
        <w:t>ода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9E146C" w:rsidP="009E146C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bCs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pt;height:95.8pt">
            <v:imagedata r:id="rId8" o:title=""/>
            <o:lock v:ext="edit" ungrouping="t" rotation="t" cropping="t" verticies="t" text="t" grouping="t"/>
            <o:signatureline v:ext="edit" id="{B609313C-8B38-4149-B562-451F6F358D1B}" provid="{00000000-0000-0000-0000-000000000000}" o:suggestedsigner=" Т.В. Пилипенко " o:suggestedsigner2="исполняющий обязанности заведующего" issignatureline="t"/>
          </v:shape>
        </w:pict>
      </w: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действий персонала </w:t>
      </w:r>
      <w:r w:rsidR="00E72519">
        <w:rPr>
          <w:rFonts w:ascii="Times New Roman" w:hAnsi="Times New Roman" w:cs="Times New Roman"/>
          <w:sz w:val="28"/>
          <w:szCs w:val="28"/>
        </w:rPr>
        <w:t xml:space="preserve">МБДОУ детского сада № 5 </w:t>
      </w:r>
      <w:proofErr w:type="spellStart"/>
      <w:r w:rsidR="00E72519">
        <w:rPr>
          <w:rFonts w:ascii="Times New Roman" w:hAnsi="Times New Roman" w:cs="Times New Roman"/>
          <w:sz w:val="28"/>
          <w:szCs w:val="28"/>
        </w:rPr>
        <w:t>г.Уссурийска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>, работников частных охранных организаций и обучающихся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9E146C">
      <w:pPr>
        <w:pStyle w:val="Default"/>
        <w:rPr>
          <w:bCs/>
          <w:color w:val="auto"/>
          <w:sz w:val="28"/>
          <w:szCs w:val="28"/>
        </w:rPr>
      </w:pPr>
      <w:bookmarkStart w:id="0" w:name="_GoBack"/>
      <w:bookmarkEnd w:id="0"/>
    </w:p>
    <w:p w:rsidR="00086405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9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  <w:r w:rsidRPr="009F512C">
        <w:rPr>
          <w:bCs/>
          <w:color w:val="auto"/>
          <w:sz w:val="28"/>
          <w:szCs w:val="28"/>
        </w:rPr>
        <w:t>2022 год</w:t>
      </w:r>
    </w:p>
    <w:p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 xml:space="preserve"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 России, МВД России, МЧС России, </w:t>
      </w:r>
      <w:proofErr w:type="spellStart"/>
      <w:r w:rsidR="00DA758F"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DA758F" w:rsidRPr="009F512C">
        <w:rPr>
          <w:rFonts w:ascii="Times New Roman" w:hAnsi="Times New Roman" w:cs="Times New Roman"/>
          <w:sz w:val="28"/>
          <w:szCs w:val="28"/>
        </w:rPr>
        <w:t xml:space="preserve">, ФСБ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исходя из особенностей каждого объекта разрабатываются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руководитель – директор, ректор, заведующий образовательной организации 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</w:rPr>
              <w:t xml:space="preserve">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</w:rPr>
              <w:t xml:space="preserve"> режимов,</w:t>
            </w:r>
            <w:r w:rsid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</w:rPr>
              <w:t>при проведения</w:t>
            </w:r>
            <w:proofErr w:type="gramEnd"/>
            <w:r w:rsidRPr="009F512C">
              <w:rPr>
                <w:rFonts w:ascii="Times New Roman" w:hAnsi="Times New Roman" w:cs="Times New Roman"/>
              </w:rPr>
              <w:t xml:space="preserve">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</w:rPr>
              <w:t>и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</w:rPr>
              <w:t>при проведения</w:t>
            </w:r>
            <w:proofErr w:type="gramEnd"/>
            <w:r w:rsidRPr="009F512C">
              <w:rPr>
                <w:rFonts w:ascii="Times New Roman" w:hAnsi="Times New Roman" w:cs="Times New Roman"/>
              </w:rPr>
              <w:t xml:space="preserve">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>- 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 xml:space="preserve">-  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  <w:t>работника</w:t>
            </w:r>
            <w:r w:rsidRPr="009F512C">
              <w:rPr>
                <w:rFonts w:ascii="Times New Roman" w:hAnsi="Times New Roman" w:cs="Times New Roman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</w:rPr>
              <w:t>руководителя</w:t>
            </w:r>
            <w:r w:rsidRPr="009F512C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</w:rPr>
              <w:t>при проведения</w:t>
            </w:r>
            <w:proofErr w:type="gramEnd"/>
            <w:r w:rsidRPr="009F512C">
              <w:rPr>
                <w:rFonts w:ascii="Times New Roman" w:hAnsi="Times New Roman" w:cs="Times New Roman"/>
              </w:rPr>
              <w:t xml:space="preserve">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не бежать навстречу сотрудникам, проводящим операцию 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  <w:b/>
              </w:rPr>
              <w:t xml:space="preserve">-  </w:t>
            </w:r>
            <w:r w:rsidRPr="009F512C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  <w:t>работника</w:t>
            </w:r>
            <w:r w:rsidRPr="009F512C">
              <w:rPr>
                <w:rFonts w:ascii="Times New Roman" w:hAnsi="Times New Roman" w:cs="Times New Roman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</w:rPr>
              <w:t>руководителя</w:t>
            </w:r>
            <w:r w:rsidRPr="009F512C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F512C">
              <w:rPr>
                <w:rFonts w:ascii="Times New Roman" w:hAnsi="Times New Roman" w:cs="Times New Roman"/>
              </w:rPr>
              <w:t>при проведения</w:t>
            </w:r>
            <w:proofErr w:type="gramEnd"/>
            <w:r w:rsidRPr="009F512C">
              <w:rPr>
                <w:rFonts w:ascii="Times New Roman" w:hAnsi="Times New Roman" w:cs="Times New Roman"/>
              </w:rPr>
              <w:t xml:space="preserve">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</w:rPr>
              <w:t xml:space="preserve">и </w:t>
            </w:r>
            <w:r w:rsidRPr="009F512C">
              <w:rPr>
                <w:rFonts w:ascii="Times New Roman" w:hAnsi="Times New Roman" w:cs="Times New Roman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="00706575" w:rsidRPr="009F512C">
              <w:rPr>
                <w:rFonts w:ascii="Times New Roman" w:hAnsi="Times New Roman" w:cs="Times New Roman"/>
              </w:rPr>
              <w:t>Росгвардии</w:t>
            </w:r>
            <w:proofErr w:type="spellEnd"/>
            <w:r w:rsidR="00706575" w:rsidRPr="009F512C">
              <w:rPr>
                <w:rFonts w:ascii="Times New Roman" w:hAnsi="Times New Roman" w:cs="Times New Roman"/>
              </w:rPr>
              <w:t>, сообщить старшему наряда</w:t>
            </w:r>
            <w:r w:rsidR="004F4C36" w:rsidRPr="009F512C">
              <w:rPr>
                <w:rFonts w:ascii="Times New Roman" w:hAnsi="Times New Roman" w:cs="Times New Roman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обеспечить усиление охраны и контроля пропускного и </w:t>
            </w:r>
            <w:proofErr w:type="spellStart"/>
            <w:r w:rsidRPr="009F512C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</w:rPr>
              <w:t xml:space="preserve"> режимов, а также прекращение доступа </w:t>
            </w:r>
            <w:r w:rsidRPr="009F512C">
              <w:rPr>
                <w:rFonts w:ascii="Times New Roman" w:hAnsi="Times New Roman" w:cs="Times New Roman"/>
              </w:rPr>
              <w:lastRenderedPageBreak/>
              <w:t xml:space="preserve">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</w:rPr>
              <w:t xml:space="preserve">и </w:t>
            </w:r>
            <w:r w:rsidRPr="009F512C">
              <w:rPr>
                <w:rFonts w:ascii="Times New Roman" w:hAnsi="Times New Roman" w:cs="Times New Roman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="00A710F4" w:rsidRPr="009F512C">
              <w:rPr>
                <w:rFonts w:ascii="Times New Roman" w:hAnsi="Times New Roman" w:cs="Times New Roman"/>
              </w:rPr>
              <w:t>Росгвардии</w:t>
            </w:r>
            <w:proofErr w:type="spellEnd"/>
            <w:r w:rsidR="00A710F4" w:rsidRPr="009F512C">
              <w:rPr>
                <w:rFonts w:ascii="Times New Roman" w:hAnsi="Times New Roman" w:cs="Times New Roman"/>
              </w:rPr>
              <w:t xml:space="preserve">, сообщить </w:t>
            </w:r>
            <w:r w:rsidR="004F4C36" w:rsidRPr="009F512C">
              <w:rPr>
                <w:rFonts w:ascii="Times New Roman" w:hAnsi="Times New Roman" w:cs="Times New Roman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F512C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9F512C">
              <w:rPr>
                <w:rFonts w:ascii="Times New Roman" w:hAnsi="Times New Roman" w:cs="Times New Roman"/>
              </w:rPr>
              <w:t xml:space="preserve"> режимов, а также прекращение доступа </w:t>
            </w:r>
            <w:r w:rsidRPr="009F512C">
              <w:rPr>
                <w:rFonts w:ascii="Times New Roman" w:hAnsi="Times New Roman" w:cs="Times New Roman"/>
              </w:rPr>
              <w:lastRenderedPageBreak/>
              <w:t xml:space="preserve">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lastRenderedPageBreak/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не задерживая нарушителя, предложить ему подождать у входа на объект, пока не будет получено разрешение на проход </w:t>
            </w:r>
            <w:proofErr w:type="gramStart"/>
            <w:r w:rsidRPr="00201D73">
              <w:rPr>
                <w:rFonts w:ascii="Times New Roman" w:hAnsi="Times New Roman" w:cs="Times New Roman"/>
              </w:rPr>
              <w:t>от старшего охраны</w:t>
            </w:r>
            <w:proofErr w:type="gramEnd"/>
            <w:r w:rsidRPr="00201D73">
              <w:rPr>
                <w:rFonts w:ascii="Times New Roman" w:hAnsi="Times New Roman" w:cs="Times New Roman"/>
              </w:rPr>
              <w:t xml:space="preserve">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13438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(руководитель и его 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</w:rPr>
              <w:t>е</w:t>
            </w:r>
            <w:r w:rsidRPr="00531BF7">
              <w:rPr>
                <w:rFonts w:ascii="Times New Roman" w:hAnsi="Times New Roman" w:cs="Times New Roman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</w:rPr>
              <w:t>ы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</w:rPr>
              <w:t xml:space="preserve"> и</w:t>
            </w:r>
            <w:r w:rsidRPr="00531BF7">
              <w:rPr>
                <w:rFonts w:ascii="Times New Roman" w:hAnsi="Times New Roman" w:cs="Times New Roman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</w:t>
            </w:r>
            <w:r w:rsidR="00606F1F" w:rsidRPr="00531BF7">
              <w:rPr>
                <w:rFonts w:ascii="Times New Roman" w:hAnsi="Times New Roman" w:cs="Times New Roman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</w:rPr>
              <w:t>к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</w:rPr>
              <w:t>ю</w:t>
            </w:r>
            <w:r w:rsidRPr="00531BF7">
              <w:rPr>
                <w:rFonts w:ascii="Times New Roman" w:hAnsi="Times New Roman" w:cs="Times New Roman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</w:rPr>
              <w:t>согласно</w:t>
            </w:r>
            <w:r w:rsidRPr="00531BF7">
              <w:rPr>
                <w:rFonts w:ascii="Times New Roman" w:hAnsi="Times New Roman" w:cs="Times New Roman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</w:rPr>
              <w:t>по</w:t>
            </w:r>
            <w:r w:rsidRPr="00531BF7">
              <w:rPr>
                <w:rFonts w:ascii="Times New Roman" w:hAnsi="Times New Roman" w:cs="Times New Roman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  <w:b/>
              </w:rPr>
              <w:lastRenderedPageBreak/>
              <w:t>- </w:t>
            </w:r>
            <w:r w:rsidRPr="00531BF7">
              <w:rPr>
                <w:rFonts w:ascii="Times New Roman" w:hAnsi="Times New Roman" w:cs="Times New Roman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в</w:t>
            </w:r>
            <w:r w:rsidR="003B6E1F" w:rsidRPr="00531BF7">
              <w:rPr>
                <w:rFonts w:ascii="Times New Roman" w:hAnsi="Times New Roman" w:cs="Times New Roman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Работники охранной организации</w:t>
            </w: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складывающейся на месте происшествия обстановке;</w:t>
            </w:r>
          </w:p>
          <w:p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31BF7">
              <w:rPr>
                <w:rFonts w:ascii="Times New Roman" w:hAnsi="Times New Roman" w:cs="Times New Roman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</w:rPr>
              <w:t>по своей</w:t>
            </w:r>
            <w:r w:rsidRPr="00531BF7">
              <w:rPr>
                <w:rFonts w:ascii="Times New Roman" w:hAnsi="Times New Roman" w:cs="Times New Roman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систему оповещения не использовать;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оперативных служб к месту происшествия;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</w:rPr>
              <w:t xml:space="preserve"> руководства;</w:t>
            </w:r>
          </w:p>
          <w:p w:rsidR="006F21D5" w:rsidRPr="00531BF7" w:rsidRDefault="003B3B27" w:rsidP="003B3B27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F5" w:rsidRDefault="006A28F5" w:rsidP="00CE2DF1">
      <w:r>
        <w:separator/>
      </w:r>
    </w:p>
  </w:endnote>
  <w:endnote w:type="continuationSeparator" w:id="0">
    <w:p w:rsidR="006A28F5" w:rsidRDefault="006A28F5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F5" w:rsidRDefault="006A28F5" w:rsidP="00CE2DF1">
      <w:r>
        <w:separator/>
      </w:r>
    </w:p>
  </w:footnote>
  <w:footnote w:type="continuationSeparator" w:id="0">
    <w:p w:rsidR="006A28F5" w:rsidRDefault="006A28F5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9E146C">
      <w:rPr>
        <w:rFonts w:ascii="Times New Roman" w:hAnsi="Times New Roman" w:cs="Times New Roman"/>
        <w:noProof/>
      </w:rPr>
      <w:t>4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53EF"/>
    <w:rsid w:val="00201D73"/>
    <w:rsid w:val="00231903"/>
    <w:rsid w:val="00275C24"/>
    <w:rsid w:val="00297313"/>
    <w:rsid w:val="002B49E5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28F5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E146C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2519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CEFE2"/>
  <w15:docId w15:val="{90FF6C91-586D-4064-AE82-581F8040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cn+u8A9icH4S3o94KiAQeYeuC/mySkNoFZl/5ex0PQ4=</DigestValue>
    </Reference>
    <Reference Type="http://www.w3.org/2000/09/xmldsig#Object" URI="#idOfficeObject">
      <DigestMethod Algorithm="urn:ietf:params:xml:ns:cpxmlsec:algorithms:gostr34112012-256"/>
      <DigestValue>t9RxoU9FAEef6UGMvcYf/oevh+QGFDUrSOYh0+GTLyY=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IyCGA0VMAlK1x73fV0TTtWOmQApDCyWGb8YDMEEuXb8=</DigestValue>
    </Reference>
  </SignedInfo>
  <SignatureValue>0Q6IErNUDxAw6vzNnKmzMGPHL3ZD/mZIGT2UE7jy7oaqvwrv/45zNAliZ3CyJW9nDYDC68jGKSqx
GFcdrXCBSg==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vWhh941JppKf2IIcwxNRyvPNMxCXYPldDBDe1su3R/0=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Ip0kY4AhA2QYn47sEzz3VaZh6mmUWhZTk5OnAXPBCyI=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616EnVAtMU5rAqFHk0p4dlcNGG0xZ/R+7hFS7/1JKR8=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am4VwyNYjS4LuI9/guYtT4P6YN04sYMBI7gGm6Rjifg=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1TjDn4Xzb8jT9rUjantRdax+JKHVNVh6YWSZ3g9hKao=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P1zyhhC+dVBKWf23V1VEVNI5pXYq96iVeYvLRxezVp0=</DigestValue>
      </Reference>
      <Reference URI="/word/media/image1.emf?ContentType=image/x-emf">
        <DigestMethod Algorithm="urn:ietf:params:xml:ns:cpxmlsec:algorithms:gostr34112012-256"/>
        <DigestValue>ZmETFlt/HbRRxrsUeAoKtAGJTjuOq2L1F3pTHm7TnLc=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twplYkHEVuWA6NppXuwvE5ZiGJn/dV605QBPSl/OGDM=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PUSoZxxWD200ANWvh8cYXbon29TjortmskfPVa91PrE=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77DtOCmDUOMjJ2RLMb65WhSnEM3o/9Z8Aeo+km3148k=</DigestValue>
      </Reference>
      <Reference URI="/word/theme/theme1.xml?ContentType=application/vnd.openxmlformats-officedocument.theme+xml">
        <DigestMethod Algorithm="urn:ietf:params:xml:ns:cpxmlsec:algorithms:gostr34112012-256"/>
        <DigestValue>0Q0dRgvodfTOMXx2pm+8uGqMwerR348+NGWLYgLJfTU=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cBrHSndsBPbRRCBG8oPqzxVJU7zgMwHHF0Rn2NjC9ws=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2022-10-02T22:46:22Z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2022-10-02T22:46:22Z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CB20-3772-4C45-BD87-68CD2567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6047</Words>
  <Characters>34473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Деменков Андрей Михайлович</dc:creator>
  <cp:lastModifiedBy>юля</cp:lastModifiedBy>
  <cp:revision>3</cp:revision>
  <cp:lastPrinted>2022-06-17T05:15:00Z</cp:lastPrinted>
  <dcterms:created xsi:type="dcterms:W3CDTF">2022-10-01T01:19:00Z</dcterms:created>
  <dcterms:modified xsi:type="dcterms:W3CDTF">2022-10-02T03:24:00Z</dcterms:modified>
</cp:coreProperties>
</file>